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D0" w:rsidRDefault="006A7ED0" w:rsidP="006A7ED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6A7ED0" w:rsidRPr="00E763E4" w:rsidRDefault="006A7ED0" w:rsidP="006A7E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spellStart"/>
      <w:r w:rsidRPr="00E763E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Микрозаймы</w:t>
      </w:r>
      <w:proofErr w:type="spellEnd"/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Заемные средства по льготным процентным ставкам может получить предприниматель на самой ранней стадии реализации бизнес - проекта, когда недоступно банковское кредитование. Программа </w:t>
      </w:r>
      <w:proofErr w:type="spellStart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микрофинасирования</w:t>
      </w:r>
      <w:proofErr w:type="spellEnd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осуществляется на базе </w:t>
      </w:r>
      <w:hyperlink r:id="rId6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Новгородского Фонда поддержки малого и среднего предпринимательства</w:t>
        </w:r>
      </w:hyperlink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Максимальная сумма займа 3 млн. рублей. Максимальный срок займа в настоящее время составляет 36 месяцев. Процентная ставка равна ставке рефинансирования ЦБ РФ. В настоящее время ставка рефинансирования составляет 8,25 % </w:t>
      </w:r>
      <w:proofErr w:type="gramStart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годовых</w:t>
      </w:r>
      <w:proofErr w:type="gramEnd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 Срок рассмотрения заявок на предоставление займов минимален и не превышает 5 дней.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  <w:r w:rsidRPr="00E763E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Кредитная поддержка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На территории Новгородской области действует </w:t>
      </w:r>
      <w:hyperlink r:id="rId7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Программа стимулирования кредитования субъектов малого и среднего предпринимательства</w:t>
        </w:r>
      </w:hyperlink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разработанная АО «Федеральная корпорация по развитию малого и среднего предпринимательства» (Корпорация МСП) совместно с Минэкономразвития России и Банком России.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Предоставление льготных кредитов в рамках Программы открывает значительные возможности в обеспечении доступности долгосрочного инвестиционного и оборотного кредитования для малого и среднего бизнеса при реализации значимых проектов приоритетных отраслей:</w:t>
      </w:r>
    </w:p>
    <w:p w:rsidR="006A7ED0" w:rsidRPr="00E763E4" w:rsidRDefault="006A7ED0" w:rsidP="006A7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сельское хозяйство и (или) предоставление услуг в этой области;</w:t>
      </w:r>
    </w:p>
    <w:p w:rsidR="006A7ED0" w:rsidRPr="00E763E4" w:rsidRDefault="006A7ED0" w:rsidP="006A7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обрабатывающее производство, в том числе производство пищевых продуктов;</w:t>
      </w:r>
    </w:p>
    <w:p w:rsidR="006A7ED0" w:rsidRPr="00E763E4" w:rsidRDefault="006A7ED0" w:rsidP="006A7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первичная и последующая (промышленная) переработка сельскохозяйственных продуктов;</w:t>
      </w:r>
    </w:p>
    <w:p w:rsidR="006A7ED0" w:rsidRPr="00E763E4" w:rsidRDefault="006A7ED0" w:rsidP="006A7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производство и распределение электроэнергии, газа и воды;</w:t>
      </w:r>
    </w:p>
    <w:p w:rsidR="006A7ED0" w:rsidRPr="00E763E4" w:rsidRDefault="006A7ED0" w:rsidP="006A7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строительство;</w:t>
      </w:r>
    </w:p>
    <w:p w:rsidR="006A7ED0" w:rsidRPr="00E763E4" w:rsidRDefault="006A7ED0" w:rsidP="006A7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транспорт;</w:t>
      </w:r>
    </w:p>
    <w:p w:rsidR="006A7ED0" w:rsidRPr="00E763E4" w:rsidRDefault="006A7ED0" w:rsidP="006A7E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связь.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Программа фиксирует процентную ставку по кредитам в сумме не менее 10 </w:t>
      </w:r>
      <w:proofErr w:type="gramStart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млн</w:t>
      </w:r>
      <w:proofErr w:type="gramEnd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руб. на уровне 10,6% годовых, для среднего бизнеса - 9,6% годовых.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Дополнительные комиссии и сборы отсутствуют.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Срок льготного фондирования по указанным ставкам: до 3-х лет.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В программе участвуют следующие уполномоченные банки: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8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ПАО Сбербанк;</w:t>
        </w:r>
      </w:hyperlink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9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АО «Россельхозбанк»;</w:t>
        </w:r>
      </w:hyperlink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10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ВТБ 24 (ПАО);</w:t>
        </w:r>
      </w:hyperlink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11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ПАО «Промсвязьбанк»;</w:t>
        </w:r>
      </w:hyperlink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12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 xml:space="preserve">Банк </w:t>
        </w:r>
        <w:proofErr w:type="spellStart"/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Уралсиб</w:t>
        </w:r>
        <w:proofErr w:type="spellEnd"/>
      </w:hyperlink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Подробную информацию об полных условиях кредитования субъектов МСП в рамках Программы, а также приоритетных отраслях кредитования в рамках Программы можно получить на официальном сайте Корпорация МСП по адресу </w:t>
      </w:r>
      <w:hyperlink r:id="rId13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http://corpmsp.ru/</w:t>
        </w:r>
      </w:hyperlink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(</w:t>
      </w:r>
      <w:hyperlink r:id="rId14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http://corpmsp.ru/bankam/programma_stimulir/</w:t>
        </w:r>
      </w:hyperlink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)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  <w:r w:rsidRPr="00E763E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Гарантийная поддержка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Гарантийная поддержка осуществляется в виде предоставления поручительств по обязательствам субъектов малого и среднего предпринимательства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Программа поручительств, реализуется</w:t>
      </w:r>
      <w:hyperlink r:id="rId15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 Новгородским Фондом поддержки малого предпринимательства</w:t>
        </w:r>
      </w:hyperlink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, рассчитана на субъекты малого предпринимательства (СМП), которые </w:t>
      </w: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удовлетворяют условиям банка, но не могут предоставить достаточное собственное обеспечение в виде залога.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Таким СМП Фонд предлагает поручительства перед банком до 70 % суммы необходимого залогового обеспечения. За поручительства Фонда СМП уплачивает вознаграждение в размере 1% </w:t>
      </w:r>
      <w:proofErr w:type="gramStart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годовых</w:t>
      </w:r>
      <w:proofErr w:type="gramEnd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от суммы поручительства. Возможно предоставление поручительства по договорам лизинга. За пользование поручительством в этом случае вознаграждение составит 0,5%.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  <w:r w:rsidRPr="00E763E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Субсидии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Поддержка  субъектам малого и среднего предпринимательства в виде предоставления субсидий осуществляется в  рамках реализации областной программы.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16" w:tgtFrame="_blank" w:history="1">
        <w:r w:rsidRPr="00E763E4">
          <w:rPr>
            <w:rFonts w:ascii="Arial" w:eastAsia="Times New Roman" w:hAnsi="Arial" w:cs="Arial"/>
            <w:b/>
            <w:bCs/>
            <w:color w:val="428BCA"/>
            <w:sz w:val="21"/>
            <w:szCs w:val="21"/>
            <w:lang w:eastAsia="ru-RU"/>
          </w:rPr>
          <w:t>Субсидирование части затрат по уплате лизинговых платежей по договорам лизинга</w:t>
        </w:r>
      </w:hyperlink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Субсидии предоставляются по договорам лизинга оборудования, устройств, механизмов, приборов, аппаратов, агрегатов, устройств, установок, машин, средств и технологий, используемых при осуществлении предпринимательской деятельности.</w:t>
      </w:r>
      <w:proofErr w:type="gramEnd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 Невозможно субсидирование договоров лизинга автотранспортных средств. Субсидии не предоставляются по уплате лизинговых платежей по договорам лизинга транспортных средств, договорам </w:t>
      </w:r>
      <w:proofErr w:type="spellStart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сублизинга</w:t>
      </w:r>
      <w:proofErr w:type="spellEnd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договорам лизинга, в которых лизингополучатель в рамках одного лизингового правоотношения является одновременно и продавцом и лизингополучателем.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Компенсировать можно лизинговые платежи, произведенные не ранее 1 января 2012 года.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Размер субсидии: 2/3 от суммы авансового платежа.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Максимальная сумма субсидии одному заявителю не может превышать 300,0 тыс. рублей. 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17" w:tgtFrame="_blank" w:history="1">
        <w:r w:rsidRPr="00E763E4">
          <w:rPr>
            <w:rFonts w:ascii="Arial" w:eastAsia="Times New Roman" w:hAnsi="Arial" w:cs="Arial"/>
            <w:b/>
            <w:bCs/>
            <w:color w:val="428BCA"/>
            <w:sz w:val="21"/>
            <w:szCs w:val="21"/>
            <w:lang w:eastAsia="ru-RU"/>
          </w:rPr>
          <w:t>Субсидирование части затрат на участие в выставках, конференциях, ярмарках и иных мероприятиях, связанных с продвижением на региональные и международные рынки продукции, товаров и услуг</w:t>
        </w:r>
      </w:hyperlink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Субсидии предоставляются единовременно в размере 2/3 произведенных затрат на участие в выставочных мероприятиях проведенных не ранее 1 января 2012 года за исключением расходов на проезд к месту проведения выставочных мероприятий и обратно, наем жилых помещений и питание. Субсидии предоставляются заявителям по договорам, текущие обязательства по которым исполнены и оплачены. Максимальная сумма субсидии одному заявителю в текущем финансовом году не может превышать 50,0 тыс. рублей. Субсидии предоставляются заявителям, зарегистрированным и осуществляющим деятельность на территории Новгородской области.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18" w:tgtFrame="_blank" w:history="1">
        <w:r w:rsidRPr="00E763E4">
          <w:rPr>
            <w:rFonts w:ascii="Arial" w:eastAsia="Times New Roman" w:hAnsi="Arial" w:cs="Arial"/>
            <w:b/>
            <w:bCs/>
            <w:color w:val="428BCA"/>
            <w:sz w:val="21"/>
            <w:szCs w:val="21"/>
            <w:lang w:eastAsia="ru-RU"/>
          </w:rPr>
          <w:t>Субсидирование части затрат, связанных с осуществлением ремесленных видов деятельности</w:t>
        </w:r>
      </w:hyperlink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Для целей предоставления субсидий под малыми (средними) ремесленными предприятиями понимаются субъекты малого и среднего предпринимательства, осуществляющие виды деятельности, включенные в </w:t>
      </w:r>
      <w:hyperlink r:id="rId19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Перечень видов ремесленной деятельности в Новгородской области</w:t>
        </w:r>
      </w:hyperlink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утвержденный постановлением Администрации области от 23.08.2010 № 395, фактически производящие ремесленную продукцию, а также фактически осуществляющие затраты для ведения ремесленной деятельности.</w:t>
      </w:r>
      <w:proofErr w:type="gramEnd"/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Субсидии предоставляются на компенсацию части затрат заявителей на приобретение сырья, расходных материалов и инструментов, необходимых для изготовления ремесленной продукции и изделий.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Субсидии предоставляются в размере 3/4 фактически произведенных заявителем затрат.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Максимальная сумма субсидий одному заявителю в текущем финансовом году не может превышать 300,0 тыс. рублей.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lang w:eastAsia="ru-RU"/>
        </w:rPr>
        <w:t> 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Предоставление субсидий  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E763E4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Консультацию по вопросам получения субсидий субъектам малого и среднего предпринимательства Вы можете получить, обратившись в управление по развитию малого и среднего предпринимательства департамента экономического развития Новгородской области: </w:t>
      </w:r>
    </w:p>
    <w:p w:rsidR="006A7ED0" w:rsidRPr="00E763E4" w:rsidRDefault="006A7ED0" w:rsidP="006A7ED0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hyperlink r:id="rId20" w:tgtFrame="_blank" w:history="1">
        <w:r w:rsidRPr="00E763E4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Департамент экономического развития Новгородской области</w:t>
        </w:r>
      </w:hyperlink>
    </w:p>
    <w:p w:rsidR="00770BCD" w:rsidRDefault="00770BCD">
      <w:bookmarkStart w:id="0" w:name="_GoBack"/>
      <w:bookmarkEnd w:id="0"/>
    </w:p>
    <w:sectPr w:rsidR="0077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F30"/>
    <w:multiLevelType w:val="multilevel"/>
    <w:tmpl w:val="BC2E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D0"/>
    <w:rsid w:val="006A7ED0"/>
    <w:rsid w:val="007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person" TargetMode="External"/><Relationship Id="rId13" Type="http://schemas.openxmlformats.org/officeDocument/2006/relationships/hyperlink" Target="http://corpmsp.ru/" TargetMode="External"/><Relationship Id="rId18" Type="http://schemas.openxmlformats.org/officeDocument/2006/relationships/hyperlink" Target="https://econommsp.novreg.ru/upload/file/ReestrGosp/Remeslo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corpmsp.ru/upload/iblock/805/%D0%9F%D1%80%D0%BE%D0%B3%D1%80%D0%B0%D0%BC%D0%BC%D0%B0_6,5_03.10.2016.pdf" TargetMode="External"/><Relationship Id="rId12" Type="http://schemas.openxmlformats.org/officeDocument/2006/relationships/hyperlink" Target="http://uralsib.ru/" TargetMode="External"/><Relationship Id="rId17" Type="http://schemas.openxmlformats.org/officeDocument/2006/relationships/hyperlink" Target="https://econommsp.novreg.ru/upload/file/ReestrGosp/Vistavki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nommsp.novreg.ru/upload/file/ReestrGosp/Lising.docx" TargetMode="External"/><Relationship Id="rId20" Type="http://schemas.openxmlformats.org/officeDocument/2006/relationships/hyperlink" Target="https://econom.novreg.ru/busine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cpp.ru/zaymy-dlya-biznesa/" TargetMode="External"/><Relationship Id="rId11" Type="http://schemas.openxmlformats.org/officeDocument/2006/relationships/hyperlink" Target="http://www.psban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cpp.ru/poruchitelstvo/" TargetMode="External"/><Relationship Id="rId10" Type="http://schemas.openxmlformats.org/officeDocument/2006/relationships/hyperlink" Target="http://www.vtb24.ru/personal/Pages/default.aspx" TargetMode="External"/><Relationship Id="rId19" Type="http://schemas.openxmlformats.org/officeDocument/2006/relationships/hyperlink" Target="https://econommsp.novreg.ru/upload/file/ReestrGosp/SpisokVidovRemDey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hb.ru/" TargetMode="External"/><Relationship Id="rId14" Type="http://schemas.openxmlformats.org/officeDocument/2006/relationships/hyperlink" Target="http://corpmsp.ru/bankam/programma_stimuli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Взвад</cp:lastModifiedBy>
  <cp:revision>1</cp:revision>
  <dcterms:created xsi:type="dcterms:W3CDTF">2023-03-09T13:13:00Z</dcterms:created>
  <dcterms:modified xsi:type="dcterms:W3CDTF">2023-03-09T13:13:00Z</dcterms:modified>
</cp:coreProperties>
</file>